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3"/>
        <w:tblW w:type="auto" w:w="0"/>
        <w:tblInd w:type="dxa" w:w="28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  <w:tblCellMar>
          <w:left w:type="dxa" w:w="0"/>
          <w:right w:type="dxa" w:w="0"/>
        </w:tblCellMar>
      </w:tblPr>
      <w:tblGrid>
        <w:gridCol w:w="539"/>
        <w:gridCol w:w="975"/>
        <w:gridCol w:w="241"/>
        <w:gridCol w:w="709"/>
        <w:gridCol w:w="283"/>
        <w:gridCol w:w="1608"/>
        <w:gridCol w:w="1006"/>
        <w:gridCol w:w="4252"/>
      </w:tblGrid>
      <w:tr>
        <w:trPr>
          <w:trHeight w:hRule="exact" w:val="851"/>
        </w:trPr>
        <w:tc>
          <w:tcPr>
            <w:tcW w:type="dxa" w:w="4355"/>
            <w:gridSpan w:val="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sdt>
            <w:sdtPr>
              <w:lock w:val="sdtContentLocked"/>
            </w:sdtPr>
            <w:sdtContent>
              <w:p w14:paraId="05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6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7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8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drawing>
                    <wp:anchor allowOverlap="true" behindDoc="true" distL="114300" distR="114300" layoutInCell="true" locked="false" relativeHeight="251658240" simplePos="false">
                      <wp:simplePos x="0" y="0"/>
                      <wp:positionH relativeFrom="column">
                        <wp:posOffset>977364</wp:posOffset>
                      </wp:positionH>
                      <wp:positionV relativeFrom="page">
                        <wp:posOffset>-82642</wp:posOffset>
                      </wp:positionV>
                      <wp:extent cx="792479" cy="920750"/>
                      <wp:effectExtent b="0" l="0" r="0" t="0"/>
                      <wp:wrapNone/>
                      <wp:docPr hidden="false" id="3" name="Picture 3"/>
                      <a:graphic>
                        <a:graphicData uri="http://schemas.openxmlformats.org/drawingml/2006/picture">
                          <pic:pic>
                            <pic:nvPicPr>
                              <pic:cNvPr hidden="false" id="2" name="Picture 2"/>
                              <pic:cNvPicPr preferRelativeResize="true"/>
                            </pic:nvPicPr>
                            <pic:blipFill>
                              <a:blip r:embed="rId3"/>
                              <a:srcRect b="0" l="0" r="0" t="0"/>
                              <a:stretch/>
                            </pic:blipFill>
                            <pic:spPr>
                              <a:xfrm flipH="false" flipV="false" rot="0">
                                <a:ext cx="792479" cy="920750"/>
                              </a:xfrm>
                              <a:prstGeom prst="rect"/>
                            </pic:spPr>
                          </pic:pic>
                        </a:graphicData>
                      </a:graphic>
                    </wp:anchor>
                  </w:drawing>
                </w:r>
              </w:p>
              <w:p w14:paraId="09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ПРОКУРАТУРА </w:t>
                </w:r>
                <w:r>
                  <w:rPr>
                    <w:rFonts w:ascii="Times New Roman" w:hAnsi="Times New Roman"/>
                    <w:sz w:val="20"/>
                  </w:rPr>
                  <w:t>РОССИЙСКОЙ ФЕДЕРАЦИИ</w:t>
                </w:r>
              </w:p>
              <w:p w14:paraId="0A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ПРОКУРАТУРА РЕСПУБЛИКИ АЛТАЙ</w:t>
                </w:r>
              </w:p>
              <w:p w14:paraId="0B000000">
                <w:pPr>
                  <w:spacing w:after="0" w:before="60" w:line="240" w:lineRule="auto"/>
                  <w:ind w:firstLine="0" w:left="-105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ПРОКУРАТУРА</w:t>
                </w:r>
              </w:p>
              <w:p w14:paraId="0C000000">
                <w:pPr>
                  <w:spacing w:after="60" w:line="240" w:lineRule="exact"/>
                  <w:ind w:firstLine="0" w:left="-108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ШЕБАЛИНСКОГО РАЙОНА</w:t>
                </w:r>
              </w:p>
              <w:p w14:paraId="0D000000">
                <w:pPr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ул. Советская</w:t>
                </w:r>
                <w:r>
                  <w:rPr>
                    <w:rFonts w:ascii="Times New Roman" w:hAnsi="Times New Roman"/>
                    <w:sz w:val="20"/>
                  </w:rPr>
                  <w:t>, 11</w:t>
                </w:r>
              </w:p>
              <w:p w14:paraId="0E000000">
                <w:pPr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с. Шебалино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  <w:r>
                  <w:rPr>
                    <w:rFonts w:ascii="Times New Roman" w:hAnsi="Times New Roman"/>
                    <w:sz w:val="20"/>
                  </w:rPr>
                  <w:t xml:space="preserve"> </w:t>
                </w:r>
                <w:r>
                  <w:rPr>
                    <w:rFonts w:ascii="Times New Roman" w:hAnsi="Times New Roman"/>
                    <w:sz w:val="20"/>
                  </w:rPr>
                  <w:t>Республика Алтай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</w:p>
              <w:p w14:paraId="0F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Россия, </w:t>
                </w:r>
                <w:r>
                  <w:rPr>
                    <w:rFonts w:ascii="Times New Roman" w:hAnsi="Times New Roman"/>
                    <w:sz w:val="20"/>
                  </w:rPr>
                  <w:t>649220</w:t>
                </w:r>
              </w:p>
            </w:sdtContent>
          </w:sdt>
        </w:tc>
        <w:tc>
          <w:tcPr>
            <w:tcW w:type="dxa" w:w="100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0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  <w:tc>
          <w:tcPr>
            <w:tcW w:type="dxa" w:w="425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1000000">
                <w:pPr>
                  <w:spacing w:line="240" w:lineRule="exact"/>
                  <w:ind/>
                  <w:jc w:val="both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</w:tr>
      <w:tr>
        <w:trPr>
          <w:trHeight w:hRule="exact" w:val="1963"/>
        </w:trPr>
        <w:tc>
          <w:tcPr>
            <w:tcW w:type="dxa" w:w="4355"/>
            <w:gridSpan w:val="6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2000000">
            <w:pPr>
              <w:spacing w:after="0" w:line="240" w:lineRule="exact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Прокуратура Республики Алтай</w:t>
            </w:r>
          </w:p>
          <w:p w14:paraId="13000000">
            <w:pPr>
              <w:spacing w:after="0" w:line="240" w:lineRule="exact"/>
              <w:ind/>
              <w:rPr>
                <w:rFonts w:ascii="Times New Roman" w:hAnsi="Times New Roman"/>
                <w:sz w:val="28"/>
              </w:rPr>
            </w:pPr>
          </w:p>
          <w:p w14:paraId="14000000">
            <w:pPr>
              <w:spacing w:after="0" w:line="240" w:lineRule="exact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Помощнику прокурора по взаимодействию со СМИ и общественностью </w:t>
            </w:r>
          </w:p>
          <w:p w14:paraId="15000000">
            <w:pPr>
              <w:spacing w:after="0" w:line="240" w:lineRule="exact"/>
              <w:ind/>
              <w:rPr>
                <w:rFonts w:ascii="Times New Roman" w:hAnsi="Times New Roman"/>
                <w:sz w:val="28"/>
              </w:rPr>
            </w:pPr>
          </w:p>
          <w:p w14:paraId="16000000">
            <w:pPr>
              <w:spacing w:after="0" w:line="240" w:lineRule="auto"/>
              <w:ind/>
            </w:pPr>
            <w:r>
              <w:rPr>
                <w:rFonts w:ascii="Times New Roman" w:hAnsi="Times New Roman"/>
                <w:sz w:val="28"/>
              </w:rPr>
              <w:t>Васильевой К.Г.</w:t>
            </w:r>
          </w:p>
        </w:tc>
      </w:tr>
      <w:tr>
        <w:trPr>
          <w:trHeight w:hRule="exact" w:val="389"/>
        </w:trPr>
        <w:tc>
          <w:tcPr>
            <w:tcW w:type="dxa" w:w="1514"/>
            <w:gridSpan w:val="2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7000000">
                <w:pPr>
                  <w:pStyle w:val="Style_2"/>
                  <w:spacing w:line="240" w:lineRule="auto"/>
                  <w:ind/>
                  <w:jc w:val="center"/>
                  <w:rPr>
                    <w:rFonts w:ascii="Times New Roman" w:hAnsi="Times New Roman"/>
                    <w:color w:val="000000"/>
                    <w:sz w:val="20"/>
                  </w:rPr>
                </w:pPr>
                <w:bookmarkStart w:id="3" w:name="SIGDT1"/>
                <w:r>
                  <w:rPr>
                    <w:rFonts w:ascii="Times New Roman" w:hAnsi="Times New Roman"/>
                    <w:color w:val="000000"/>
                    <w:sz w:val="20"/>
                  </w:rPr>
                  <w:t>дата подписания</w:t>
                </w:r>
                <w:bookmarkEnd w:id="3"/>
              </w:p>
            </w:sdtContent>
          </w:sdt>
        </w:tc>
        <w:tc>
          <w:tcPr>
            <w:tcW w:type="dxa" w:w="241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8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№</w:t>
                </w:r>
              </w:p>
            </w:sdtContent>
          </w:sdt>
        </w:tc>
        <w:tc>
          <w:tcPr>
            <w:tcW w:type="dxa" w:w="2600"/>
            <w:gridSpan w:val="3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9000000">
                <w:pPr>
                  <w:spacing w:line="240" w:lineRule="auto"/>
                  <w:ind/>
                  <w:rPr>
                    <w:rFonts w:ascii="Times New Roman" w:hAnsi="Times New Roman"/>
                    <w:color w:val="FFFFFF"/>
                    <w:sz w:val="20"/>
                  </w:rPr>
                </w:pPr>
                <w:r>
                  <w:rPr>
                    <w:rFonts w:ascii="Times New Roman" w:hAnsi="Times New Roman"/>
                    <w:color w:val="FFFFFF"/>
                    <w:sz w:val="20"/>
                  </w:rPr>
                  <w:t xml:space="preserve"> [REGNUMSTAMP]</w:t>
                </w:r>
              </w:p>
            </w:sdtContent>
          </w:sdt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exact" w:val="399"/>
        </w:trPr>
        <w:tc>
          <w:tcPr>
            <w:tcW w:type="dxa" w:w="539"/>
            <w:tcBorders>
              <w:top w:color="000000" w:sz="6" w:val="single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sdt>
            <w:sdtPr>
              <w:lock w:val="sdtContentLocked"/>
            </w:sdtPr>
            <w:sdtContent>
              <w:p w14:paraId="1A000000">
                <w:pPr>
                  <w:spacing w:line="240" w:lineRule="exact"/>
                  <w:ind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На №</w:t>
                </w:r>
              </w:p>
            </w:sdtContent>
          </w:sdt>
        </w:tc>
        <w:tc>
          <w:tcPr>
            <w:tcW w:type="dxa" w:w="3816"/>
            <w:gridSpan w:val="5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1B000000">
            <w:pPr>
              <w:spacing w:line="240" w:lineRule="exact"/>
              <w:ind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atLeast" w:val="313"/>
        </w:trPr>
        <w:tc>
          <w:tcPr>
            <w:tcW w:type="dxa" w:w="4355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C000000">
            <w:pPr>
              <w:spacing w:line="240" w:lineRule="exact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</w:tbl>
    <w:p w14:paraId="1D000000">
      <w:pPr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</w:p>
    <w:p w14:paraId="1E000000">
      <w:pPr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ИНФОРМАЦИЯ</w:t>
      </w:r>
    </w:p>
    <w:p w14:paraId="1F000000">
      <w:pPr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</w:p>
    <w:p w14:paraId="20000000">
      <w:pPr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 xml:space="preserve">для размещения на официальных </w:t>
      </w:r>
      <w:r>
        <w:rPr>
          <w:rFonts w:ascii="Times New Roman" w:hAnsi="Times New Roman"/>
          <w:b w:val="0"/>
          <w:sz w:val="28"/>
        </w:rPr>
        <w:t>информационных ресурсах органов прокуратуры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«По </w:t>
      </w:r>
      <w:r>
        <w:rPr>
          <w:rFonts w:ascii="Times New Roman" w:hAnsi="Times New Roman"/>
          <w:b w:val="0"/>
          <w:sz w:val="28"/>
        </w:rPr>
        <w:t>постановлению прокурора</w:t>
      </w:r>
      <w:r>
        <w:rPr>
          <w:rFonts w:ascii="Times New Roman" w:hAnsi="Times New Roman"/>
          <w:b w:val="0"/>
          <w:sz w:val="28"/>
        </w:rPr>
        <w:t xml:space="preserve"> Шебалинского района </w:t>
      </w:r>
      <w:r>
        <w:rPr>
          <w:rFonts w:ascii="Times New Roman" w:hAnsi="Times New Roman"/>
          <w:b w:val="0"/>
          <w:sz w:val="28"/>
        </w:rPr>
        <w:t>подрядчик привлечен к административной ответственности за ненадлежащее содержание автомобильной дороги»</w:t>
      </w:r>
    </w:p>
    <w:p w14:paraId="21000000">
      <w:pPr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</w:p>
    <w:p w14:paraId="22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Прокуратурой Шебалинского района </w:t>
      </w:r>
      <w:r>
        <w:rPr>
          <w:rFonts w:ascii="Times New Roman" w:hAnsi="Times New Roman"/>
          <w:color w:val="000000"/>
          <w:sz w:val="28"/>
        </w:rPr>
        <w:t>проведена</w:t>
      </w:r>
      <w:r>
        <w:rPr>
          <w:rFonts w:ascii="Times New Roman" w:hAnsi="Times New Roman"/>
          <w:color w:val="000000"/>
          <w:sz w:val="28"/>
        </w:rPr>
        <w:t xml:space="preserve"> проверка нормативного состояния дороги регионального значения </w:t>
      </w:r>
      <w:r>
        <w:rPr>
          <w:rFonts w:ascii="Times New Roman" w:hAnsi="Times New Roman"/>
          <w:sz w:val="28"/>
        </w:rPr>
        <w:t>на территории Актельского сельского поселения.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В </w:t>
      </w:r>
      <w:r>
        <w:rPr>
          <w:rFonts w:ascii="Times New Roman" w:hAnsi="Times New Roman"/>
          <w:sz w:val="28"/>
        </w:rPr>
        <w:t xml:space="preserve">результате </w:t>
      </w:r>
      <w:r>
        <w:rPr>
          <w:rFonts w:ascii="Times New Roman" w:hAnsi="Times New Roman"/>
          <w:sz w:val="28"/>
        </w:rPr>
        <w:t>проверки установлено, что</w:t>
      </w:r>
      <w:r>
        <w:rPr>
          <w:rFonts w:ascii="Times New Roman" w:hAnsi="Times New Roman"/>
          <w:sz w:val="28"/>
        </w:rPr>
        <w:t xml:space="preserve"> на участках автомобильной дороги </w:t>
      </w:r>
      <w:r>
        <w:rPr>
          <w:rFonts w:ascii="Times New Roman" w:hAnsi="Times New Roman"/>
          <w:sz w:val="28"/>
        </w:rPr>
        <w:t>регионального значения 84К-120 «Черга-Актел-Камай» имеются многочисленные выбоины, проломы дорожного полотна, а также неровности проезжей части, образовавшиеся под воздействием дождевых вод, что является нарушением требований государственного стандарта к эксплуатационному состоянию дорог.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По факту</w:t>
      </w:r>
      <w:r>
        <w:rPr>
          <w:rFonts w:ascii="Times New Roman" w:hAnsi="Times New Roman"/>
          <w:sz w:val="28"/>
        </w:rPr>
        <w:t xml:space="preserve"> ненадлежащего исполнения обслуживающей организацией</w:t>
      </w:r>
      <w:r>
        <w:rPr>
          <w:rFonts w:ascii="Times New Roman" w:hAnsi="Times New Roman"/>
          <w:sz w:val="28"/>
        </w:rPr>
        <w:t xml:space="preserve"> АО «Усть-Канское дорожное ремонтно-строительное управление»</w:t>
      </w:r>
      <w:r>
        <w:rPr>
          <w:rFonts w:ascii="Times New Roman" w:hAnsi="Times New Roman"/>
          <w:sz w:val="28"/>
        </w:rPr>
        <w:t xml:space="preserve"> обязательств по государственному контракту на содержание</w:t>
      </w:r>
      <w:r>
        <w:rPr>
          <w:rFonts w:ascii="Times New Roman" w:hAnsi="Times New Roman"/>
          <w:sz w:val="28"/>
        </w:rPr>
        <w:t xml:space="preserve"> дороги регионального значения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прокурор</w:t>
      </w:r>
      <w:r>
        <w:rPr>
          <w:rFonts w:ascii="Times New Roman" w:hAnsi="Times New Roman"/>
          <w:sz w:val="28"/>
        </w:rPr>
        <w:t>ом</w:t>
      </w:r>
      <w:r>
        <w:rPr>
          <w:rFonts w:ascii="Times New Roman" w:hAnsi="Times New Roman"/>
          <w:sz w:val="28"/>
        </w:rPr>
        <w:t xml:space="preserve"> Шебалинского</w:t>
      </w:r>
      <w:r>
        <w:rPr>
          <w:rFonts w:ascii="Times New Roman" w:hAnsi="Times New Roman"/>
          <w:sz w:val="28"/>
        </w:rPr>
        <w:t xml:space="preserve"> района 18.08.2025 </w:t>
      </w:r>
      <w:r>
        <w:rPr>
          <w:rFonts w:ascii="Times New Roman" w:hAnsi="Times New Roman"/>
          <w:sz w:val="28"/>
        </w:rPr>
        <w:t xml:space="preserve">возбуждено </w:t>
      </w:r>
      <w:r>
        <w:rPr>
          <w:rFonts w:ascii="Times New Roman" w:hAnsi="Times New Roman"/>
          <w:sz w:val="28"/>
        </w:rPr>
        <w:t xml:space="preserve">в отношении генерального директора </w:t>
      </w:r>
      <w:r>
        <w:rPr>
          <w:rFonts w:ascii="Times New Roman" w:hAnsi="Times New Roman"/>
          <w:sz w:val="28"/>
        </w:rPr>
        <w:t>дело об административном правонарушении по ч. 1 ст. 12.34 КоАП РФ.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Постановлением мирового судьи судебного участка Шебалинского района Республики Алтай от 17.09.2025 генеральный директор обслуживающей организации привлечен к административной ответственности по ч. 1 ст. 12.34 КоАП РФ в виде штрафа в размере 20 000 рублей.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Вопрос устранения нарушений требований к содержанию автомобильной дороги находится на контроле прокурора Шебалинского района.</w:t>
      </w:r>
    </w:p>
    <w:p w14:paraId="23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24000000">
      <w:pPr>
        <w:spacing w:after="0" w:line="240" w:lineRule="exact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Прокурор района</w:t>
      </w:r>
    </w:p>
    <w:p w14:paraId="25000000">
      <w:pPr>
        <w:spacing w:after="0" w:line="240" w:lineRule="exact"/>
        <w:ind w:firstLine="0" w:left="0"/>
        <w:jc w:val="both"/>
        <w:rPr>
          <w:rFonts w:ascii="Times New Roman" w:hAnsi="Times New Roman"/>
          <w:sz w:val="28"/>
        </w:rPr>
      </w:pPr>
    </w:p>
    <w:p w14:paraId="26000000">
      <w:pPr>
        <w:spacing w:after="0" w:line="240" w:lineRule="exact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советник юстиции                                                                               Е.К. Полыгалов</w:t>
      </w:r>
    </w:p>
    <w:tbl>
      <w:tblPr>
        <w:tblStyle w:val="Style_3"/>
        <w:tblW w:type="auto" w:w="0"/>
        <w:tblInd w:type="dxa" w:w="40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</w:tblPr>
      <w:tblGrid>
        <w:gridCol w:w="5252"/>
        <w:gridCol w:w="4503"/>
      </w:tblGrid>
      <w:tr>
        <w:trPr>
          <w:trHeight w:hRule="atLeast" w:val="1108"/>
        </w:trPr>
        <w:tc>
          <w:tcPr>
            <w:tcW w:type="dxa" w:w="975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</w:tcPr>
          <w:sdt>
            <w:sdtPr>
              <w:lock w:val="sdtContentLocked"/>
            </w:sdtPr>
            <w:sdtContent>
              <w:p w14:paraId="27000000">
                <w:pPr>
                  <w:keepNext w:val="1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BFBFBF"/>
                    <w:sz w:val="28"/>
                  </w:rPr>
                </w:pPr>
                <w:bookmarkStart w:id="4" w:name="SIGNERSTAMP1"/>
                <w:r>
                  <w:rPr>
                    <w:rFonts w:ascii="Times New Roman" w:hAnsi="Times New Roman"/>
                    <w:color w:val="BFBFBF"/>
                    <w:sz w:val="28"/>
                  </w:rPr>
                  <w:t xml:space="preserve">штамп подписи </w:t>
                </w:r>
              </w:p>
              <w:p w14:paraId="28000000">
                <w:pPr>
                  <w:keepNext w:val="1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4472C4"/>
                    <w:sz w:val="28"/>
                  </w:rPr>
                </w:pPr>
                <w:r>
                  <w:rPr>
                    <w:rFonts w:ascii="Times New Roman" w:hAnsi="Times New Roman"/>
                    <w:color w:val="4472C4"/>
                    <w:sz w:val="28"/>
                  </w:rPr>
                  <w:t xml:space="preserve"> </w:t>
                </w:r>
                <w:bookmarkEnd w:id="4"/>
              </w:p>
            </w:sdtContent>
          </w:sdt>
        </w:tc>
      </w:tr>
    </w:tbl>
    <w:p w14:paraId="29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2A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2B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2C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2D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2E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2F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30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31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32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33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34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35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36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37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38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39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3A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3B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3C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3D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3E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3F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40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41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42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43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44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45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46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47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48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49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4A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4B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4C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4D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4E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</w:t>
      </w:r>
    </w:p>
    <w:p w14:paraId="4F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А.Ю. Болычева, тел. 8 (388) 49 22-2-76 </w:t>
      </w:r>
      <w:r>
        <w:rPr>
          <w:rFonts w:ascii="Times New Roman" w:hAnsi="Times New Roman"/>
          <w:sz w:val="24"/>
        </w:rPr>
        <w:t xml:space="preserve"> </w:t>
      </w:r>
    </w:p>
    <w:sectPr>
      <w:headerReference r:id="rId2" w:type="default"/>
      <w:footerReference r:id="rId1" w:type="first"/>
      <w:pgSz w:h="16848" w:orient="portrait" w:w="11908"/>
      <w:pgMar w:bottom="1134" w:footer="113" w:gutter="0" w:header="708" w:left="1701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right"/>
    </w:pPr>
    <w:sdt>
      <w:sdtPr>
        <w:lock w:val="sdtContentLocked"/>
      </w:sdtPr>
      <w:sdtContent>
        <w:r>
          <mc:AlternateContent>
            <mc:Choice Requires="wps">
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<wp:inline>
                  <wp:extent cx="2489475" cy="344410"/>
                  <wp:docPr hidden="false" id="1" name="Picture 1"/>
                  <a:graphic>
                    <a:graphicData uri="http://schemas.microsoft.com/office/word/2010/wordprocessingShape"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2489475" cy="3444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2000000">
                              <w:pPr>
                                <w:pStyle w:val="Style_2"/>
                                <w:spacing w:after="57" w:before="11" w:line="160" w:lineRule="exact"/>
                                <w:ind/>
                                <w:jc w:val="center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bookmarkStart w:id="1" w:name="SIGNERORG1"/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>прокуратура</w:t>
                              </w:r>
                              <w:bookmarkEnd w:id="1"/>
                            </w:p>
                            <w:p w14:paraId="03000000">
                              <w:pPr>
                                <w:pStyle w:val="Style_2"/>
                                <w:spacing w:after="57" w:before="11" w:line="160" w:lineRule="exact"/>
                                <w:ind/>
                                <w:jc w:val="left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 xml:space="preserve">          </w:t>
                              </w:r>
                              <w:bookmarkStart w:id="2" w:name="REGNUMSTAMP"/>
                              <w:bookmarkEnd w:id="2"/>
                            </w:p>
                          </w:txbxContent>
                        </wps:txbx>
                        <wps:bodyPr anchor="t" bIns="46800" lIns="90000" rIns="90000" tIns="46800" vert="horz" wrap="square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</mc:Fallback>
          </mc:AlternateContent>
        </w:r>
      </w:sdtContent>
    </w:sdt>
  </w:p>
</w:ft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  <w:ind/>
      <w:jc w:val="center"/>
      <w:rPr>
        <w:rFonts w:ascii="Times New Roman" w:hAnsi="Times New Roman"/>
        <w:color w:val="000000"/>
        <w:spacing w:val="0"/>
        <w:sz w:val="22"/>
      </w:rPr>
    </w:pPr>
    <w:r>
      <w:rPr>
        <w:rFonts w:ascii="Times New Roman" w:hAnsi="Times New Roman"/>
        <w:color w:val="000000"/>
        <w:spacing w:val="0"/>
        <w:sz w:val="22"/>
      </w:rPr>
      <w:fldChar w:fldCharType="begin"/>
    </w:r>
    <w:r>
      <w:rPr>
        <w:rFonts w:ascii="Times New Roman" w:hAnsi="Times New Roman"/>
        <w:color w:val="000000"/>
        <w:spacing w:val="0"/>
        <w:sz w:val="22"/>
      </w:rPr>
      <w:instrText>PAGE \* Arabic</w:instrText>
    </w:r>
    <w:r>
      <w:rPr>
        <w:rFonts w:ascii="Times New Roman" w:hAnsi="Times New Roman"/>
        <w:color w:val="000000"/>
        <w:spacing w:val="0"/>
        <w:sz w:val="22"/>
      </w:rPr>
      <w:fldChar w:fldCharType="separate"/>
    </w:r>
    <w:r>
      <w:rPr>
        <w:rFonts w:ascii="Times New Roman" w:hAnsi="Times New Roman"/>
        <w:color w:val="000000"/>
        <w:spacing w:val="0"/>
        <w:sz w:val="22"/>
      </w:rPr>
      <w:t xml:space="preserve"> </w:t>
    </w:r>
    <w:r>
      <w:rPr>
        <w:rFonts w:ascii="Times New Roman" w:hAnsi="Times New Roman"/>
        <w:color w:val="000000"/>
        <w:spacing w:val="0"/>
        <w:sz w:val="22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4" w:type="paragraph">
    <w:name w:val="Обычный1"/>
    <w:link w:val="Style_4_ch"/>
  </w:style>
  <w:style w:styleId="Style_4_ch" w:type="character">
    <w:name w:val="Обычный1"/>
    <w:link w:val="Style_4"/>
  </w:style>
  <w:style w:styleId="Style_5" w:type="paragraph">
    <w:name w:val="toc 2"/>
    <w:next w:val="Style_2"/>
    <w:link w:val="Style_5_ch"/>
    <w:uiPriority w:val="39"/>
    <w:pPr>
      <w:ind w:firstLine="0" w:left="200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2"/>
    <w:link w:val="Style_6_ch"/>
    <w:uiPriority w:val="39"/>
    <w:pPr>
      <w:ind w:firstLine="0" w:left="600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2"/>
    <w:link w:val="Style_7_ch"/>
    <w:uiPriority w:val="39"/>
    <w:pPr>
      <w:ind w:firstLine="0" w:left="1000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2"/>
    <w:link w:val="Style_8_ch"/>
    <w:uiPriority w:val="39"/>
    <w:pPr>
      <w:ind w:firstLine="0" w:left="1200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Обычный1"/>
    <w:link w:val="Style_9_ch"/>
  </w:style>
  <w:style w:styleId="Style_9_ch" w:type="character">
    <w:name w:val="Обычный1"/>
    <w:link w:val="Style_9"/>
  </w:style>
  <w:style w:styleId="Style_10" w:type="paragraph">
    <w:name w:val="Обычный1"/>
    <w:link w:val="Style_10_ch"/>
  </w:style>
  <w:style w:styleId="Style_10_ch" w:type="character">
    <w:name w:val="Обычный1"/>
    <w:link w:val="Style_10"/>
  </w:style>
  <w:style w:styleId="Style_11" w:type="paragraph">
    <w:name w:val="Endnote"/>
    <w:link w:val="Style_11_ch"/>
    <w:pPr>
      <w:ind w:firstLine="851" w:left="0"/>
      <w:jc w:val="both"/>
    </w:pPr>
    <w:rPr>
      <w:rFonts w:ascii="XO Thames" w:hAnsi="XO Thames"/>
    </w:rPr>
  </w:style>
  <w:style w:styleId="Style_11_ch" w:type="character">
    <w:name w:val="Endnote"/>
    <w:link w:val="Style_11"/>
    <w:rPr>
      <w:rFonts w:ascii="XO Thames" w:hAnsi="XO Thames"/>
    </w:rPr>
  </w:style>
  <w:style w:styleId="Style_12" w:type="paragraph">
    <w:name w:val="heading 3"/>
    <w:next w:val="Style_2"/>
    <w:link w:val="Style_12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Гиперссылка4"/>
    <w:link w:val="Style_13_ch"/>
    <w:rPr>
      <w:color w:val="0000FF"/>
      <w:u w:val="single"/>
    </w:rPr>
  </w:style>
  <w:style w:styleId="Style_13_ch" w:type="character">
    <w:name w:val="Гиперссылка4"/>
    <w:link w:val="Style_13"/>
    <w:rPr>
      <w:color w:val="0000FF"/>
      <w:u w:val="single"/>
    </w:rPr>
  </w:style>
  <w:style w:styleId="Style_14" w:type="paragraph">
    <w:name w:val="Гиперссылка3"/>
    <w:link w:val="Style_14_ch"/>
    <w:rPr>
      <w:color w:val="0000FF"/>
      <w:u w:val="single"/>
    </w:rPr>
  </w:style>
  <w:style w:styleId="Style_14_ch" w:type="character">
    <w:name w:val="Гиперссылка3"/>
    <w:link w:val="Style_14"/>
    <w:rPr>
      <w:color w:val="0000FF"/>
      <w:u w:val="single"/>
    </w:rPr>
  </w:style>
  <w:style w:styleId="Style_15" w:type="paragraph">
    <w:name w:val="toc 3"/>
    <w:next w:val="Style_2"/>
    <w:link w:val="Style_15_ch"/>
    <w:uiPriority w:val="39"/>
    <w:pPr>
      <w:ind w:firstLine="0" w:left="400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Основной шрифт абзаца2"/>
    <w:link w:val="Style_16_ch"/>
  </w:style>
  <w:style w:styleId="Style_16_ch" w:type="character">
    <w:name w:val="Основной шрифт абзаца2"/>
    <w:link w:val="Style_16"/>
  </w:style>
  <w:style w:styleId="Style_17" w:type="paragraph">
    <w:name w:val="Default Paragraph Font"/>
    <w:link w:val="Style_17_ch"/>
  </w:style>
  <w:style w:styleId="Style_17_ch" w:type="character">
    <w:name w:val="Default Paragraph Font"/>
    <w:link w:val="Style_17"/>
  </w:style>
  <w:style w:styleId="Style_18" w:type="paragraph">
    <w:name w:val="heading 5"/>
    <w:next w:val="Style_2"/>
    <w:link w:val="Style_1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8_ch" w:type="character">
    <w:name w:val="heading 5"/>
    <w:link w:val="Style_18"/>
    <w:rPr>
      <w:rFonts w:ascii="XO Thames" w:hAnsi="XO Thames"/>
      <w:b w:val="1"/>
    </w:rPr>
  </w:style>
  <w:style w:styleId="Style_19" w:type="paragraph">
    <w:name w:val="Основной шрифт абзаца2"/>
    <w:link w:val="Style_19_ch"/>
  </w:style>
  <w:style w:styleId="Style_19_ch" w:type="character">
    <w:name w:val="Основной шрифт абзаца2"/>
    <w:link w:val="Style_19"/>
  </w:style>
  <w:style w:styleId="Style_20" w:type="paragraph">
    <w:name w:val="heading 1"/>
    <w:next w:val="Style_2"/>
    <w:link w:val="Style_2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0_ch" w:type="character">
    <w:name w:val="heading 1"/>
    <w:link w:val="Style_20"/>
    <w:rPr>
      <w:rFonts w:ascii="XO Thames" w:hAnsi="XO Thames"/>
      <w:b w:val="1"/>
      <w:sz w:val="32"/>
    </w:rPr>
  </w:style>
  <w:style w:styleId="Style_21" w:type="paragraph">
    <w:name w:val="Hyperlink"/>
    <w:link w:val="Style_21_ch"/>
    <w:rPr>
      <w:color w:val="0000FF"/>
      <w:u w:val="single"/>
    </w:rPr>
  </w:style>
  <w:style w:styleId="Style_21_ch" w:type="character">
    <w:name w:val="Hyperlink"/>
    <w:link w:val="Style_21"/>
    <w:rPr>
      <w:color w:val="0000FF"/>
      <w:u w:val="single"/>
    </w:rPr>
  </w:style>
  <w:style w:styleId="Style_22" w:type="paragraph">
    <w:name w:val="Footnote"/>
    <w:link w:val="Style_22_ch"/>
    <w:pPr>
      <w:ind w:firstLine="851" w:left="0"/>
      <w:jc w:val="both"/>
    </w:pPr>
    <w:rPr>
      <w:rFonts w:ascii="XO Thames" w:hAnsi="XO Thames"/>
    </w:rPr>
  </w:style>
  <w:style w:styleId="Style_22_ch" w:type="character">
    <w:name w:val="Footnote"/>
    <w:link w:val="Style_22"/>
    <w:rPr>
      <w:rFonts w:ascii="XO Thames" w:hAnsi="XO Thames"/>
    </w:rPr>
  </w:style>
  <w:style w:styleId="Style_23" w:type="paragraph">
    <w:name w:val="toc 1"/>
    <w:next w:val="Style_2"/>
    <w:link w:val="Style_23_ch"/>
    <w:uiPriority w:val="39"/>
    <w:rPr>
      <w:rFonts w:ascii="XO Thames" w:hAnsi="XO Thames"/>
      <w:b w:val="1"/>
      <w:sz w:val="28"/>
    </w:rPr>
  </w:style>
  <w:style w:styleId="Style_23_ch" w:type="character">
    <w:name w:val="toc 1"/>
    <w:link w:val="Style_23"/>
    <w:rPr>
      <w:rFonts w:ascii="XO Thames" w:hAnsi="XO Thames"/>
      <w:b w:val="1"/>
      <w:sz w:val="28"/>
    </w:rPr>
  </w:style>
  <w:style w:styleId="Style_1" w:type="paragraph">
    <w:name w:val="Header and Footer"/>
    <w:link w:val="Style_1_ch"/>
    <w:pPr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24" w:type="paragraph">
    <w:name w:val="toc 9"/>
    <w:next w:val="Style_2"/>
    <w:link w:val="Style_24_ch"/>
    <w:uiPriority w:val="39"/>
    <w:pPr>
      <w:ind w:firstLine="0" w:left="1600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toc 8"/>
    <w:next w:val="Style_2"/>
    <w:link w:val="Style_25_ch"/>
    <w:uiPriority w:val="39"/>
    <w:pPr>
      <w:ind w:firstLine="0" w:left="1400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6" w:type="paragraph">
    <w:name w:val="Основной шрифт абзаца1"/>
    <w:link w:val="Style_26_ch"/>
  </w:style>
  <w:style w:styleId="Style_26_ch" w:type="character">
    <w:name w:val="Основной шрифт абзаца1"/>
    <w:link w:val="Style_26"/>
  </w:style>
  <w:style w:styleId="Style_27" w:type="paragraph">
    <w:name w:val="toc 5"/>
    <w:next w:val="Style_2"/>
    <w:link w:val="Style_27_ch"/>
    <w:uiPriority w:val="39"/>
    <w:pPr>
      <w:ind w:firstLine="0" w:left="800"/>
    </w:pPr>
    <w:rPr>
      <w:rFonts w:ascii="XO Thames" w:hAnsi="XO Thames"/>
      <w:sz w:val="28"/>
    </w:rPr>
  </w:style>
  <w:style w:styleId="Style_27_ch" w:type="character">
    <w:name w:val="toc 5"/>
    <w:link w:val="Style_27"/>
    <w:rPr>
      <w:rFonts w:ascii="XO Thames" w:hAnsi="XO Thames"/>
      <w:sz w:val="28"/>
    </w:rPr>
  </w:style>
  <w:style w:styleId="Style_28" w:type="paragraph">
    <w:name w:val="Гиперссылка2"/>
    <w:link w:val="Style_28_ch"/>
    <w:rPr>
      <w:color w:val="0000FF"/>
      <w:u w:val="single"/>
    </w:rPr>
  </w:style>
  <w:style w:styleId="Style_28_ch" w:type="character">
    <w:name w:val="Гиперссылка2"/>
    <w:link w:val="Style_28"/>
    <w:rPr>
      <w:color w:val="0000FF"/>
      <w:u w:val="single"/>
    </w:rPr>
  </w:style>
  <w:style w:styleId="Style_29" w:type="paragraph">
    <w:name w:val="Subtitle"/>
    <w:next w:val="Style_2"/>
    <w:link w:val="Style_2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9_ch" w:type="character">
    <w:name w:val="Subtitle"/>
    <w:link w:val="Style_29"/>
    <w:rPr>
      <w:rFonts w:ascii="XO Thames" w:hAnsi="XO Thames"/>
      <w:i w:val="1"/>
      <w:sz w:val="24"/>
    </w:rPr>
  </w:style>
  <w:style w:styleId="Style_30" w:type="paragraph">
    <w:name w:val="Гиперссылка1"/>
    <w:link w:val="Style_30_ch"/>
    <w:rPr>
      <w:color w:val="0000FF"/>
      <w:u w:val="single"/>
    </w:rPr>
  </w:style>
  <w:style w:styleId="Style_30_ch" w:type="character">
    <w:name w:val="Гиперссылка1"/>
    <w:link w:val="Style_30"/>
    <w:rPr>
      <w:color w:val="0000FF"/>
      <w:u w:val="single"/>
    </w:rPr>
  </w:style>
  <w:style w:styleId="Style_31" w:type="paragraph">
    <w:name w:val="Title"/>
    <w:next w:val="Style_2"/>
    <w:link w:val="Style_3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1_ch" w:type="character">
    <w:name w:val="Title"/>
    <w:link w:val="Style_31"/>
    <w:rPr>
      <w:rFonts w:ascii="XO Thames" w:hAnsi="XO Thames"/>
      <w:b w:val="1"/>
      <w:caps w:val="1"/>
      <w:sz w:val="40"/>
    </w:rPr>
  </w:style>
  <w:style w:styleId="Style_32" w:type="paragraph">
    <w:name w:val="heading 4"/>
    <w:next w:val="Style_2"/>
    <w:link w:val="Style_3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2_ch" w:type="character">
    <w:name w:val="heading 4"/>
    <w:link w:val="Style_32"/>
    <w:rPr>
      <w:rFonts w:ascii="XO Thames" w:hAnsi="XO Thames"/>
      <w:b w:val="1"/>
      <w:sz w:val="24"/>
    </w:rPr>
  </w:style>
  <w:style w:styleId="Style_33" w:type="paragraph">
    <w:name w:val="Основной шрифт абзаца3"/>
    <w:link w:val="Style_33_ch"/>
  </w:style>
  <w:style w:styleId="Style_33_ch" w:type="character">
    <w:name w:val="Основной шрифт абзаца3"/>
    <w:link w:val="Style_33"/>
  </w:style>
  <w:style w:styleId="Style_34" w:type="paragraph">
    <w:name w:val="Обычный1"/>
    <w:link w:val="Style_34_ch"/>
  </w:style>
  <w:style w:styleId="Style_34_ch" w:type="character">
    <w:name w:val="Обычный1"/>
    <w:link w:val="Style_34"/>
  </w:style>
  <w:style w:styleId="Style_35" w:type="paragraph">
    <w:name w:val="heading 2"/>
    <w:next w:val="Style_2"/>
    <w:link w:val="Style_3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5_ch" w:type="character">
    <w:name w:val="heading 2"/>
    <w:link w:val="Style_35"/>
    <w:rPr>
      <w:rFonts w:ascii="XO Thames" w:hAnsi="XO Thames"/>
      <w:b w:val="1"/>
      <w:sz w:val="28"/>
    </w:rPr>
  </w:style>
  <w:style w:default="1" w:styleId="Style_3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" w:type="table">
    <w:name w:val="Сетка таблицы1"/>
    <w:basedOn w:val="Style_36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7" w:type="table">
    <w:name w:val="Table Grid"/>
    <w:basedOn w:val="Style_36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footer1.xml" Type="http://schemas.openxmlformats.org/officeDocument/2006/relationships/footer"/>
  <Relationship Id="rId2" Target="header2.xml" Type="http://schemas.openxmlformats.org/officeDocument/2006/relationships/header"/>
  <Relationship Id="rId3" Target="media/1.png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MyOffice-CoreFramework-Linux/31-1176.784.8785.803.1@b7d79ee91c0484ce8e5066dc862bfc403a32edb5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2025-09-18T10:09:06Z</dcterms:modified>
</cp:coreProperties>
</file>