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5000000">
      <w:pPr>
        <w:spacing w:after="0" w:line="240" w:lineRule="exact"/>
        <w:ind/>
        <w:rPr>
          <w:rFonts w:ascii="Times New Roman" w:hAnsi="Times New Roman"/>
          <w:b w:val="1"/>
          <w:sz w:val="28"/>
        </w:rPr>
      </w:pPr>
    </w:p>
    <w:p w14:paraId="06000000">
      <w:pPr>
        <w:spacing w:after="0" w:line="240" w:lineRule="exact"/>
        <w:ind/>
        <w:jc w:val="center"/>
        <w:rPr>
          <w:rFonts w:ascii="Times New Roman" w:hAnsi="Times New Roman"/>
          <w:b w:val="1"/>
          <w:sz w:val="28"/>
        </w:rPr>
      </w:pPr>
      <w:bookmarkStart w:id="1" w:name="_GoBack"/>
      <w:bookmarkEnd w:id="1"/>
      <w:r>
        <w:rPr>
          <w:rFonts w:ascii="Times New Roman" w:hAnsi="Times New Roman"/>
          <w:b w:val="1"/>
          <w:sz w:val="28"/>
        </w:rPr>
        <w:t>РАЗЪЯСНЕНИЕ</w:t>
      </w:r>
    </w:p>
    <w:p w14:paraId="07000000">
      <w:pPr>
        <w:spacing w:after="0" w:line="240" w:lineRule="exact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административн</w:t>
      </w:r>
      <w:r>
        <w:rPr>
          <w:rFonts w:ascii="Times New Roman" w:hAnsi="Times New Roman"/>
          <w:b w:val="1"/>
          <w:sz w:val="28"/>
        </w:rPr>
        <w:t>ая</w:t>
      </w:r>
      <w:r>
        <w:rPr>
          <w:rFonts w:ascii="Times New Roman" w:hAnsi="Times New Roman"/>
          <w:b w:val="1"/>
          <w:sz w:val="28"/>
        </w:rPr>
        <w:t xml:space="preserve"> ответственност</w:t>
      </w:r>
      <w:r>
        <w:rPr>
          <w:rFonts w:ascii="Times New Roman" w:hAnsi="Times New Roman"/>
          <w:b w:val="1"/>
          <w:sz w:val="28"/>
        </w:rPr>
        <w:t>ь</w:t>
      </w:r>
    </w:p>
    <w:p w14:paraId="08000000">
      <w:pPr>
        <w:spacing w:after="0" w:line="240" w:lineRule="exact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компаний и индивидуальных</w:t>
      </w:r>
    </w:p>
    <w:p w14:paraId="09000000">
      <w:pPr>
        <w:spacing w:after="0" w:line="240" w:lineRule="exact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предпринимателей</w:t>
      </w:r>
      <w:r>
        <w:rPr>
          <w:rFonts w:ascii="Times New Roman" w:hAnsi="Times New Roman"/>
          <w:b w:val="1"/>
          <w:sz w:val="28"/>
        </w:rPr>
        <w:t xml:space="preserve"> </w:t>
      </w:r>
    </w:p>
    <w:p w14:paraId="0A000000">
      <w:pPr>
        <w:spacing w:after="0" w:line="240" w:lineRule="auto"/>
        <w:ind/>
        <w:rPr>
          <w:rFonts w:ascii="Times New Roman" w:hAnsi="Times New Roman"/>
          <w:sz w:val="28"/>
        </w:rPr>
      </w:pPr>
    </w:p>
    <w:p w14:paraId="0B000000">
      <w:pPr>
        <w:spacing w:after="0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С 27 июня </w:t>
      </w:r>
      <w:r>
        <w:rPr>
          <w:rFonts w:ascii="Times New Roman" w:hAnsi="Times New Roman"/>
          <w:sz w:val="28"/>
        </w:rPr>
        <w:t xml:space="preserve">2025 года </w:t>
      </w:r>
      <w:r>
        <w:rPr>
          <w:rFonts w:ascii="Times New Roman" w:hAnsi="Times New Roman"/>
          <w:sz w:val="28"/>
        </w:rPr>
        <w:t>вступ</w:t>
      </w:r>
      <w:r>
        <w:rPr>
          <w:rFonts w:ascii="Times New Roman" w:hAnsi="Times New Roman"/>
          <w:sz w:val="28"/>
        </w:rPr>
        <w:t>или</w:t>
      </w:r>
      <w:r>
        <w:rPr>
          <w:rFonts w:ascii="Times New Roman" w:hAnsi="Times New Roman"/>
          <w:sz w:val="28"/>
        </w:rPr>
        <w:t xml:space="preserve"> в силу изменения в КоАП РФ, которые усиливают административную ответственность для компаний и индивидуальных предпринимателей, не соблюдающих установленный порядок </w:t>
      </w:r>
      <w:r>
        <w:rPr>
          <w:rFonts w:ascii="Times New Roman" w:hAnsi="Times New Roman"/>
          <w:sz w:val="28"/>
        </w:rPr>
        <w:t>подачи уведомлений</w:t>
      </w:r>
      <w:r>
        <w:rPr>
          <w:rFonts w:ascii="Times New Roman" w:hAnsi="Times New Roman"/>
          <w:sz w:val="28"/>
        </w:rPr>
        <w:t xml:space="preserve"> о начале предпринимательской деятельности</w:t>
      </w:r>
      <w:r>
        <w:rPr>
          <w:rFonts w:ascii="Times New Roman" w:hAnsi="Times New Roman"/>
          <w:sz w:val="28"/>
        </w:rPr>
        <w:t>.</w:t>
      </w:r>
    </w:p>
    <w:p w14:paraId="0C000000">
      <w:pPr>
        <w:spacing w:after="0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Федеральный закон от 28</w:t>
      </w:r>
      <w:r>
        <w:rPr>
          <w:rFonts w:ascii="Times New Roman" w:hAnsi="Times New Roman"/>
          <w:sz w:val="28"/>
        </w:rPr>
        <w:t>.12.</w:t>
      </w:r>
      <w:r>
        <w:rPr>
          <w:rFonts w:ascii="Times New Roman" w:hAnsi="Times New Roman"/>
          <w:sz w:val="28"/>
        </w:rPr>
        <w:t>2024 № 516-ФЗ «О внесении изменений в Кодекс Российской Федерации об административных правонарушениях» вносит изменения за нарушения Федерального закона от 26</w:t>
      </w:r>
      <w:r>
        <w:rPr>
          <w:rFonts w:ascii="Times New Roman" w:hAnsi="Times New Roman"/>
          <w:sz w:val="28"/>
        </w:rPr>
        <w:t>.12.</w:t>
      </w:r>
      <w:r>
        <w:rPr>
          <w:rFonts w:ascii="Times New Roman" w:hAnsi="Times New Roman"/>
          <w:sz w:val="28"/>
        </w:rPr>
        <w:t>2008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контроля», который регламентирует уведомительный порядок, касающийся начала ведения определенных видов бизнеса – уведомление необходимо направить до фактического старта работ или оказания услуг, но уже после завершения госрегистрации и регистрации в налоговых органах.</w:t>
      </w:r>
    </w:p>
    <w:p w14:paraId="0D000000">
      <w:pPr>
        <w:spacing w:after="0"/>
        <w:ind w:firstLine="709" w:left="0"/>
        <w:jc w:val="both"/>
        <w:rPr>
          <w:sz w:val="28"/>
        </w:rPr>
      </w:pPr>
      <w:r>
        <w:rPr>
          <w:rFonts w:ascii="Times New Roman" w:hAnsi="Times New Roman"/>
          <w:sz w:val="28"/>
        </w:rPr>
        <w:t>Теперь нарушением будет считаться не только отсутствие уведомления о начале деятельности (то есть однократное неисполнение обязанности информировать гос</w:t>
      </w:r>
      <w:r>
        <w:rPr>
          <w:rFonts w:ascii="Times New Roman" w:hAnsi="Times New Roman"/>
          <w:sz w:val="28"/>
        </w:rPr>
        <w:t xml:space="preserve">ударственный </w:t>
      </w:r>
      <w:r>
        <w:rPr>
          <w:rFonts w:ascii="Times New Roman" w:hAnsi="Times New Roman"/>
          <w:sz w:val="28"/>
        </w:rPr>
        <w:t>орган о начале работы), но и сама деятельность, осуществляемая без предварительного уведомления. Это означает, что правонарушение становится длящимся, и срок давности для привлечения к ответственности будет отсчитываться с момента его выявления.</w:t>
      </w:r>
    </w:p>
    <w:p w14:paraId="0E000000">
      <w:pPr>
        <w:spacing w:after="0"/>
        <w:ind w:firstLine="709" w:left="0"/>
        <w:jc w:val="both"/>
        <w:rPr>
          <w:sz w:val="28"/>
        </w:rPr>
      </w:pPr>
      <w:r>
        <w:rPr>
          <w:rFonts w:ascii="Times New Roman" w:hAnsi="Times New Roman"/>
          <w:sz w:val="28"/>
        </w:rPr>
        <w:t>Кроме того, значительно увеличи</w:t>
      </w:r>
      <w:r>
        <w:rPr>
          <w:rFonts w:ascii="Times New Roman" w:hAnsi="Times New Roman"/>
          <w:sz w:val="28"/>
        </w:rPr>
        <w:t>л</w:t>
      </w:r>
      <w:r>
        <w:rPr>
          <w:rFonts w:ascii="Times New Roman" w:hAnsi="Times New Roman"/>
          <w:sz w:val="28"/>
        </w:rPr>
        <w:t>ся срок давности – до 1 года с момента совершения (или обнаружения) нарушения.</w:t>
      </w:r>
    </w:p>
    <w:p w14:paraId="0F000000">
      <w:pPr>
        <w:spacing w:after="0"/>
        <w:ind w:firstLine="709" w:left="0"/>
        <w:jc w:val="both"/>
        <w:rPr>
          <w:sz w:val="28"/>
        </w:rPr>
      </w:pPr>
      <w:r>
        <w:rPr>
          <w:rFonts w:ascii="Times New Roman" w:hAnsi="Times New Roman"/>
          <w:sz w:val="28"/>
        </w:rPr>
        <w:t xml:space="preserve">Также на основании закона </w:t>
      </w:r>
      <w:r>
        <w:rPr>
          <w:rFonts w:ascii="Times New Roman" w:hAnsi="Times New Roman"/>
          <w:sz w:val="28"/>
        </w:rPr>
        <w:t>увеличены</w:t>
      </w:r>
      <w:r>
        <w:rPr>
          <w:rFonts w:ascii="Times New Roman" w:hAnsi="Times New Roman"/>
          <w:sz w:val="28"/>
        </w:rPr>
        <w:t xml:space="preserve"> штрафы: для </w:t>
      </w:r>
      <w:r>
        <w:rPr>
          <w:rFonts w:ascii="Times New Roman" w:hAnsi="Times New Roman"/>
          <w:sz w:val="28"/>
        </w:rPr>
        <w:t>«</w:t>
      </w:r>
      <w:r>
        <w:rPr>
          <w:rFonts w:ascii="Times New Roman" w:hAnsi="Times New Roman"/>
          <w:sz w:val="28"/>
        </w:rPr>
        <w:t>новичков</w:t>
      </w:r>
      <w:r>
        <w:rPr>
          <w:rFonts w:ascii="Times New Roman" w:hAnsi="Times New Roman"/>
          <w:sz w:val="28"/>
        </w:rPr>
        <w:t>»</w:t>
      </w:r>
      <w:r>
        <w:rPr>
          <w:rFonts w:ascii="Times New Roman" w:hAnsi="Times New Roman"/>
          <w:sz w:val="28"/>
        </w:rPr>
        <w:t xml:space="preserve"> они составят от 7 000 до 12 000 рублей для ИП и от 24 000 до 48 000 рублей для организаций. За повторное нарушение предусмотрены штрафы от 15 000 до 25 000 рублей для ИП и от 50 000 до 60 000 рублей для организаций.</w:t>
      </w:r>
    </w:p>
    <w:p w14:paraId="10000000">
      <w:pPr>
        <w:spacing w:after="0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Аналогичное увеличение штрафов и срока давности коснется и случаев предоставления уведомлений с заведомо ложными сведениями. </w:t>
      </w:r>
      <w:r>
        <w:rPr>
          <w:rFonts w:ascii="Times New Roman" w:hAnsi="Times New Roman"/>
          <w:sz w:val="28"/>
        </w:rPr>
        <w:t>Дополнительно, будут наказывать за непредставление информации об изменениях, касающихся</w:t>
      </w:r>
      <w:r>
        <w:rPr>
          <w:rFonts w:ascii="Times New Roman" w:hAnsi="Times New Roman"/>
          <w:sz w:val="28"/>
        </w:rPr>
        <w:t xml:space="preserve"> уведомления о начале предпринимательской деятельности.</w:t>
      </w:r>
    </w:p>
    <w:p w14:paraId="11000000">
      <w:pPr>
        <w:spacing w:after="0"/>
        <w:ind w:firstLine="709" w:left="0"/>
        <w:jc w:val="both"/>
        <w:rPr>
          <w:rFonts w:ascii="Times New Roman" w:hAnsi="Times New Roman"/>
          <w:sz w:val="28"/>
        </w:rPr>
      </w:pPr>
    </w:p>
    <w:p w14:paraId="12000000">
      <w:pPr>
        <w:spacing w:after="0" w:line="240" w:lineRule="auto"/>
        <w:ind w:firstLine="709" w:left="0"/>
      </w:pPr>
    </w:p>
    <w:tbl>
      <w:tblPr>
        <w:tblStyle w:val="Style_2"/>
        <w:tblW w:type="auto" w:w="0"/>
        <w:tblInd w:type="dxa" w:w="0"/>
        <w:tblBorders>
          <w:top w:color="000000" w:val="nil"/>
          <w:left w:color="000000" w:val="nil"/>
          <w:bottom w:color="000000" w:val="nil"/>
          <w:right w:color="000000" w:val="nil"/>
          <w:insideH w:color="000000" w:val="nil"/>
          <w:insideV w:color="000000" w:val="nil"/>
        </w:tblBorders>
        <w:tblLayout w:type="fixed"/>
      </w:tblPr>
      <w:tblGrid>
        <w:gridCol w:w="4401"/>
        <w:gridCol w:w="5380"/>
      </w:tblGrid>
      <w:tr>
        <w:tc>
          <w:tcPr>
            <w:tcW w:type="dxa" w:w="9781"/>
            <w:gridSpan w:val="2"/>
            <w:tcBorders>
              <w:top w:color="000000" w:val="nil"/>
              <w:left w:color="000000" w:val="nil"/>
              <w:bottom w:color="000000" w:val="nil"/>
              <w:right w:color="000000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1300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Прокурор Шебалинского района                                                      Е.К. Полыгалов</w:t>
            </w:r>
          </w:p>
        </w:tc>
      </w:tr>
    </w:tbl>
    <w:p w14:paraId="14000000">
      <w:pPr>
        <w:spacing w:before="240"/>
        <w:ind w:firstLine="0" w:left="3686"/>
        <w:rPr>
          <w:color w:themeColor="background1" w:themeShade="D9" w:val="D9D9D9"/>
        </w:rPr>
      </w:pPr>
      <w:bookmarkStart w:id="2" w:name="SIGNERSTAMP1"/>
      <w:bookmarkEnd w:id="2"/>
      <w:r>
        <w:rPr>
          <w:color w:themeColor="background1" w:themeShade="D9" w:val="D9D9D9"/>
        </w:rPr>
        <w:t xml:space="preserve">          </w:t>
      </w:r>
    </w:p>
    <w:sectPr>
      <w:headerReference r:id="rId1" w:type="default"/>
      <w:headerReference r:id="rId2" w:type="first"/>
      <w:pgSz w:h="16838" w:orient="portrait" w:w="11906"/>
      <w:pgMar w:bottom="1560" w:footer="1259" w:gutter="0" w:header="709" w:left="1701" w:right="707" w:top="1134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ind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02000000">
    <w:pPr>
      <w:pStyle w:val="Style_1"/>
    </w:pPr>
  </w:p>
</w:hdr>
</file>

<file path=word/header2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3000000">
    <w:pPr>
      <w:pStyle w:val="Style_1"/>
      <w:ind/>
      <w:jc w:val="center"/>
    </w:pPr>
  </w:p>
  <w:p w14:paraId="04000000">
    <w:pPr>
      <w:pStyle w:val="Style_1"/>
    </w:pPr>
  </w:p>
</w:hd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0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3" w:type="paragraph">
    <w:name w:val="Normal"/>
    <w:link w:val="Style_3_ch"/>
    <w:uiPriority w:val="0"/>
    <w:qFormat/>
    <w:pPr>
      <w:spacing w:after="160" w:line="252" w:lineRule="auto"/>
      <w:ind/>
    </w:pPr>
    <w:rPr>
      <w:sz w:val="22"/>
    </w:rPr>
  </w:style>
  <w:style w:default="1" w:styleId="Style_3_ch" w:type="character">
    <w:name w:val="Normal"/>
    <w:link w:val="Style_3"/>
    <w:rPr>
      <w:sz w:val="22"/>
    </w:rPr>
  </w:style>
  <w:style w:styleId="Style_4" w:type="paragraph">
    <w:name w:val="toc 2"/>
    <w:next w:val="Style_3"/>
    <w:link w:val="Style_4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4_ch" w:type="character">
    <w:name w:val="toc 2"/>
    <w:link w:val="Style_4"/>
    <w:rPr>
      <w:rFonts w:ascii="XO Thames" w:hAnsi="XO Thames"/>
      <w:sz w:val="28"/>
    </w:rPr>
  </w:style>
  <w:style w:styleId="Style_5" w:type="paragraph">
    <w:name w:val="toc 4"/>
    <w:next w:val="Style_3"/>
    <w:link w:val="Style_5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5_ch" w:type="character">
    <w:name w:val="toc 4"/>
    <w:link w:val="Style_5"/>
    <w:rPr>
      <w:rFonts w:ascii="XO Thames" w:hAnsi="XO Thames"/>
      <w:sz w:val="28"/>
    </w:rPr>
  </w:style>
  <w:style w:styleId="Style_6" w:type="paragraph">
    <w:name w:val="toc 6"/>
    <w:next w:val="Style_3"/>
    <w:link w:val="Style_6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6_ch" w:type="character">
    <w:name w:val="toc 6"/>
    <w:link w:val="Style_6"/>
    <w:rPr>
      <w:rFonts w:ascii="XO Thames" w:hAnsi="XO Thames"/>
      <w:sz w:val="28"/>
    </w:rPr>
  </w:style>
  <w:style w:styleId="Style_7" w:type="paragraph">
    <w:name w:val="toc 7"/>
    <w:next w:val="Style_3"/>
    <w:link w:val="Style_7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7_ch" w:type="character">
    <w:name w:val="toc 7"/>
    <w:link w:val="Style_7"/>
    <w:rPr>
      <w:rFonts w:ascii="XO Thames" w:hAnsi="XO Thames"/>
      <w:sz w:val="28"/>
    </w:rPr>
  </w:style>
  <w:style w:styleId="Style_8" w:type="paragraph">
    <w:name w:val="Endnote"/>
    <w:link w:val="Style_8_ch"/>
    <w:pPr>
      <w:ind w:firstLine="851" w:left="0"/>
      <w:jc w:val="both"/>
    </w:pPr>
    <w:rPr>
      <w:rFonts w:ascii="XO Thames" w:hAnsi="XO Thames"/>
      <w:sz w:val="22"/>
    </w:rPr>
  </w:style>
  <w:style w:styleId="Style_8_ch" w:type="character">
    <w:name w:val="Endnote"/>
    <w:link w:val="Style_8"/>
    <w:rPr>
      <w:rFonts w:ascii="XO Thames" w:hAnsi="XO Thames"/>
      <w:sz w:val="22"/>
    </w:rPr>
  </w:style>
  <w:style w:styleId="Style_9" w:type="paragraph">
    <w:name w:val="heading 3"/>
    <w:next w:val="Style_3"/>
    <w:link w:val="Style_9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9_ch" w:type="character">
    <w:name w:val="heading 3"/>
    <w:link w:val="Style_9"/>
    <w:rPr>
      <w:rFonts w:ascii="XO Thames" w:hAnsi="XO Thames"/>
      <w:b w:val="1"/>
      <w:sz w:val="26"/>
    </w:rPr>
  </w:style>
  <w:style w:styleId="Style_1" w:type="paragraph">
    <w:name w:val="header"/>
    <w:basedOn w:val="Style_3"/>
    <w:link w:val="Style_1_ch"/>
    <w:pPr>
      <w:tabs>
        <w:tab w:leader="none" w:pos="4677" w:val="center"/>
        <w:tab w:leader="none" w:pos="9355" w:val="right"/>
      </w:tabs>
      <w:spacing w:after="0" w:line="240" w:lineRule="auto"/>
      <w:ind/>
    </w:pPr>
  </w:style>
  <w:style w:styleId="Style_1_ch" w:type="character">
    <w:name w:val="header"/>
    <w:basedOn w:val="Style_3_ch"/>
    <w:link w:val="Style_1"/>
  </w:style>
  <w:style w:styleId="Style_10" w:type="paragraph">
    <w:name w:val="toc 3"/>
    <w:next w:val="Style_3"/>
    <w:link w:val="Style_10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0_ch" w:type="character">
    <w:name w:val="toc 3"/>
    <w:link w:val="Style_10"/>
    <w:rPr>
      <w:rFonts w:ascii="XO Thames" w:hAnsi="XO Thames"/>
      <w:sz w:val="28"/>
    </w:rPr>
  </w:style>
  <w:style w:styleId="Style_11" w:type="paragraph">
    <w:name w:val="msonormal"/>
    <w:basedOn w:val="Style_3"/>
    <w:link w:val="Style_11_ch"/>
    <w:pPr>
      <w:spacing w:afterAutospacing="on" w:beforeAutospacing="on" w:line="240" w:lineRule="auto"/>
      <w:ind/>
    </w:pPr>
    <w:rPr>
      <w:rFonts w:ascii="Times New Roman" w:hAnsi="Times New Roman"/>
      <w:sz w:val="24"/>
    </w:rPr>
  </w:style>
  <w:style w:styleId="Style_11_ch" w:type="character">
    <w:name w:val="msonormal"/>
    <w:basedOn w:val="Style_3_ch"/>
    <w:link w:val="Style_11"/>
    <w:rPr>
      <w:rFonts w:ascii="Times New Roman" w:hAnsi="Times New Roman"/>
      <w:sz w:val="24"/>
    </w:rPr>
  </w:style>
  <w:style w:styleId="Style_12" w:type="paragraph">
    <w:name w:val="heading 5"/>
    <w:next w:val="Style_3"/>
    <w:link w:val="Style_12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2_ch" w:type="character">
    <w:name w:val="heading 5"/>
    <w:link w:val="Style_12"/>
    <w:rPr>
      <w:rFonts w:ascii="XO Thames" w:hAnsi="XO Thames"/>
      <w:b w:val="1"/>
      <w:sz w:val="22"/>
    </w:rPr>
  </w:style>
  <w:style w:styleId="Style_13" w:type="paragraph">
    <w:name w:val="heading 1"/>
    <w:next w:val="Style_3"/>
    <w:link w:val="Style_13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3_ch" w:type="character">
    <w:name w:val="heading 1"/>
    <w:link w:val="Style_13"/>
    <w:rPr>
      <w:rFonts w:ascii="XO Thames" w:hAnsi="XO Thames"/>
      <w:b w:val="1"/>
      <w:sz w:val="32"/>
    </w:rPr>
  </w:style>
  <w:style w:styleId="Style_14" w:type="paragraph">
    <w:name w:val="Hyperlink"/>
    <w:link w:val="Style_14_ch"/>
    <w:rPr>
      <w:color w:val="0000FF"/>
      <w:u w:val="single"/>
    </w:rPr>
  </w:style>
  <w:style w:styleId="Style_14_ch" w:type="character">
    <w:name w:val="Hyperlink"/>
    <w:link w:val="Style_14"/>
    <w:rPr>
      <w:color w:val="0000FF"/>
      <w:u w:val="single"/>
    </w:rPr>
  </w:style>
  <w:style w:styleId="Style_15" w:type="paragraph">
    <w:name w:val="Footnote"/>
    <w:link w:val="Style_15_ch"/>
    <w:pPr>
      <w:ind w:firstLine="851" w:left="0"/>
      <w:jc w:val="both"/>
    </w:pPr>
    <w:rPr>
      <w:rFonts w:ascii="XO Thames" w:hAnsi="XO Thames"/>
      <w:sz w:val="22"/>
    </w:rPr>
  </w:style>
  <w:style w:styleId="Style_15_ch" w:type="character">
    <w:name w:val="Footnote"/>
    <w:link w:val="Style_15"/>
    <w:rPr>
      <w:rFonts w:ascii="XO Thames" w:hAnsi="XO Thames"/>
      <w:sz w:val="22"/>
    </w:rPr>
  </w:style>
  <w:style w:styleId="Style_16" w:type="paragraph">
    <w:name w:val="Default Paragraph Font"/>
    <w:link w:val="Style_16_ch"/>
  </w:style>
  <w:style w:styleId="Style_16_ch" w:type="character">
    <w:name w:val="Default Paragraph Font"/>
    <w:link w:val="Style_16"/>
  </w:style>
  <w:style w:styleId="Style_17" w:type="paragraph">
    <w:name w:val="toc 1"/>
    <w:next w:val="Style_3"/>
    <w:link w:val="Style_17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7_ch" w:type="character">
    <w:name w:val="toc 1"/>
    <w:link w:val="Style_17"/>
    <w:rPr>
      <w:rFonts w:ascii="XO Thames" w:hAnsi="XO Thames"/>
      <w:b w:val="1"/>
      <w:sz w:val="28"/>
    </w:rPr>
  </w:style>
  <w:style w:styleId="Style_18" w:type="paragraph">
    <w:name w:val="Header and Footer"/>
    <w:link w:val="Style_18_ch"/>
    <w:pPr>
      <w:spacing w:line="240" w:lineRule="auto"/>
      <w:ind/>
      <w:jc w:val="both"/>
    </w:pPr>
    <w:rPr>
      <w:rFonts w:ascii="XO Thames" w:hAnsi="XO Thames"/>
      <w:sz w:val="28"/>
    </w:rPr>
  </w:style>
  <w:style w:styleId="Style_18_ch" w:type="character">
    <w:name w:val="Header and Footer"/>
    <w:link w:val="Style_18"/>
    <w:rPr>
      <w:rFonts w:ascii="XO Thames" w:hAnsi="XO Thames"/>
      <w:sz w:val="28"/>
    </w:rPr>
  </w:style>
  <w:style w:styleId="Style_19" w:type="paragraph">
    <w:name w:val="toc 9"/>
    <w:next w:val="Style_3"/>
    <w:link w:val="Style_19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19_ch" w:type="character">
    <w:name w:val="toc 9"/>
    <w:link w:val="Style_19"/>
    <w:rPr>
      <w:rFonts w:ascii="XO Thames" w:hAnsi="XO Thames"/>
      <w:sz w:val="28"/>
    </w:rPr>
  </w:style>
  <w:style w:styleId="Style_20" w:type="paragraph">
    <w:name w:val="toc 8"/>
    <w:next w:val="Style_3"/>
    <w:link w:val="Style_20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20_ch" w:type="character">
    <w:name w:val="toc 8"/>
    <w:link w:val="Style_20"/>
    <w:rPr>
      <w:rFonts w:ascii="XO Thames" w:hAnsi="XO Thames"/>
      <w:sz w:val="28"/>
    </w:rPr>
  </w:style>
  <w:style w:styleId="Style_21" w:type="paragraph">
    <w:name w:val="toc 5"/>
    <w:next w:val="Style_3"/>
    <w:link w:val="Style_21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21_ch" w:type="character">
    <w:name w:val="toc 5"/>
    <w:link w:val="Style_21"/>
    <w:rPr>
      <w:rFonts w:ascii="XO Thames" w:hAnsi="XO Thames"/>
      <w:sz w:val="28"/>
    </w:rPr>
  </w:style>
  <w:style w:styleId="Style_22" w:type="paragraph">
    <w:name w:val="Subtitle"/>
    <w:next w:val="Style_3"/>
    <w:link w:val="Style_22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22_ch" w:type="character">
    <w:name w:val="Subtitle"/>
    <w:link w:val="Style_22"/>
    <w:rPr>
      <w:rFonts w:ascii="XO Thames" w:hAnsi="XO Thames"/>
      <w:i w:val="1"/>
      <w:sz w:val="24"/>
    </w:rPr>
  </w:style>
  <w:style w:styleId="Style_23" w:type="paragraph">
    <w:name w:val="footer"/>
    <w:basedOn w:val="Style_3"/>
    <w:link w:val="Style_23_ch"/>
    <w:pPr>
      <w:tabs>
        <w:tab w:leader="none" w:pos="4677" w:val="center"/>
        <w:tab w:leader="none" w:pos="9355" w:val="right"/>
      </w:tabs>
      <w:spacing w:after="0" w:line="240" w:lineRule="auto"/>
      <w:ind/>
    </w:pPr>
  </w:style>
  <w:style w:styleId="Style_23_ch" w:type="character">
    <w:name w:val="footer"/>
    <w:basedOn w:val="Style_3_ch"/>
    <w:link w:val="Style_23"/>
  </w:style>
  <w:style w:styleId="Style_24" w:type="paragraph">
    <w:name w:val="Title"/>
    <w:next w:val="Style_3"/>
    <w:link w:val="Style_24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4_ch" w:type="character">
    <w:name w:val="Title"/>
    <w:link w:val="Style_24"/>
    <w:rPr>
      <w:rFonts w:ascii="XO Thames" w:hAnsi="XO Thames"/>
      <w:b w:val="1"/>
      <w:caps w:val="1"/>
      <w:sz w:val="40"/>
    </w:rPr>
  </w:style>
  <w:style w:styleId="Style_25" w:type="paragraph">
    <w:name w:val="heading 4"/>
    <w:next w:val="Style_3"/>
    <w:link w:val="Style_25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5_ch" w:type="character">
    <w:name w:val="heading 4"/>
    <w:link w:val="Style_25"/>
    <w:rPr>
      <w:rFonts w:ascii="XO Thames" w:hAnsi="XO Thames"/>
      <w:b w:val="1"/>
      <w:sz w:val="24"/>
    </w:rPr>
  </w:style>
  <w:style w:styleId="Style_26" w:type="paragraph">
    <w:name w:val="heading 2"/>
    <w:next w:val="Style_3"/>
    <w:link w:val="Style_26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6_ch" w:type="character">
    <w:name w:val="heading 2"/>
    <w:link w:val="Style_26"/>
    <w:rPr>
      <w:rFonts w:ascii="XO Thames" w:hAnsi="XO Thames"/>
      <w:b w:val="1"/>
      <w:sz w:val="28"/>
    </w:rPr>
  </w:style>
  <w:style w:styleId="Style_2" w:type="table">
    <w:name w:val="Table Grid"/>
    <w:basedOn w:val="Style_27"/>
    <w:rPr>
      <w:sz w:val="22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28" w:type="table">
    <w:name w:val="Сетка таблицы1"/>
    <w:basedOn w:val="Style_27"/>
    <w:rPr>
      <w:sz w:val="22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default="1" w:styleId="Style_27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stylesWithEffects.xml" Type="http://schemas.microsoft.com/office/2007/relationships/stylesWithEffects"/>
  <Relationship Id="rId1" Target="header1.xml" Type="http://schemas.openxmlformats.org/officeDocument/2006/relationships/header"/>
  <Relationship Id="rId2" Target="header2.xml" Type="http://schemas.openxmlformats.org/officeDocument/2006/relationships/header"/>
  <Relationship Id="rId3" Target="fontTable.xml" Type="http://schemas.openxmlformats.org/officeDocument/2006/relationships/fontTable"/>
  <Relationship Id="rId8" Target="theme/theme1.xml" Type="http://schemas.openxmlformats.org/officeDocument/2006/relationships/theme"/>
  <Relationship Id="rId4" Target="settings.xml" Type="http://schemas.openxmlformats.org/officeDocument/2006/relationships/settings"/>
  <Relationship Id="rId7" Target="webSettings.xml" Type="http://schemas.openxmlformats.org/officeDocument/2006/relationships/webSettings"/>
  <Relationship Id="rId5" Target="styles.xml" Type="http://schemas.openxmlformats.org/officeDocument/2006/relationships/style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MyOffice-CoreFramework-Linux/31-1176.784.8785.803.1@b7d79ee91c0484ce8e5066dc862bfc403a32edb5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2025-11-18T10:23:43Z</dcterms:modified>
</cp:coreProperties>
</file>