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spacing w:after="0" w:line="240" w:lineRule="exact"/>
        <w:ind/>
        <w:rPr>
          <w:rFonts w:ascii="Times New Roman" w:hAnsi="Times New Roman"/>
          <w:b w:val="1"/>
          <w:sz w:val="28"/>
        </w:rPr>
      </w:pPr>
    </w:p>
    <w:p w14:paraId="06000000">
      <w:pPr>
        <w:spacing w:after="0" w:line="240" w:lineRule="exact"/>
        <w:ind/>
        <w:rPr>
          <w:rFonts w:ascii="Times New Roman" w:hAnsi="Times New Roman"/>
          <w:b w:val="1"/>
          <w:sz w:val="28"/>
        </w:rPr>
      </w:pPr>
    </w:p>
    <w:p w14:paraId="07000000">
      <w:pPr>
        <w:spacing w:after="0" w:line="240" w:lineRule="exact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РАЗЪЯСНЕНИЕ</w:t>
      </w:r>
    </w:p>
    <w:p w14:paraId="08000000">
      <w:pPr>
        <w:spacing w:after="0" w:line="240" w:lineRule="exact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внесение изменений в </w:t>
      </w:r>
    </w:p>
    <w:p w14:paraId="09000000">
      <w:pPr>
        <w:spacing w:after="0" w:line="240" w:lineRule="exact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Федеральный закон от 13.03.2006 </w:t>
      </w:r>
    </w:p>
    <w:p w14:paraId="0A000000">
      <w:pPr>
        <w:spacing w:after="0" w:line="240" w:lineRule="exact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№38-</w:t>
      </w:r>
      <w:r>
        <w:rPr>
          <w:rFonts w:ascii="Times New Roman" w:hAnsi="Times New Roman"/>
          <w:sz w:val="28"/>
        </w:rPr>
        <w:t>ФЗ«</w:t>
      </w:r>
      <w:r>
        <w:rPr>
          <w:rFonts w:ascii="Times New Roman" w:hAnsi="Times New Roman"/>
          <w:sz w:val="28"/>
        </w:rPr>
        <w:t>О рекламе»</w:t>
      </w:r>
    </w:p>
    <w:p w14:paraId="0B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0C000000">
      <w:p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Согласно Федерального закона от 31 июля 2025 г. </w:t>
      </w:r>
      <w:r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>33</w:t>
      </w:r>
      <w:r>
        <w:rPr>
          <w:rFonts w:ascii="Times New Roman" w:hAnsi="Times New Roman"/>
          <w:sz w:val="28"/>
        </w:rPr>
        <w:t>2</w:t>
      </w:r>
      <w:bookmarkStart w:id="1" w:name="_GoBack"/>
      <w:bookmarkEnd w:id="1"/>
      <w:r>
        <w:rPr>
          <w:rFonts w:ascii="Times New Roman" w:hAnsi="Times New Roman"/>
          <w:sz w:val="28"/>
        </w:rPr>
        <w:t xml:space="preserve">-ФЗ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Федеральный закон</w:t>
      </w:r>
      <w:r>
        <w:rPr>
          <w:rFonts w:ascii="Times New Roman" w:hAnsi="Times New Roman"/>
          <w:sz w:val="28"/>
        </w:rPr>
        <w:t xml:space="preserve"> от 13.03.2006 №38-ФЗ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рекламе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, решено ужесточить требования к рекламе услуг, связанных с банкротством физических лиц. Новые правила направлены на повышение информированности граждан о возможных последствиях процедуры банкротства. В частности, реклама таких услуг должна содержать следующее указание: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Банкротство влечет негативные последствия, в том числе ограничения на получение кредита и повторное банкротство в течение пяти лет. Предварительно обратитесь к своему кредитору и в МФЦ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. Также в рекламе должно присутствовать предупреждение о негативных последствиях банкротства, таких как ограничения на получение кредитов в течение пяти лет и запрет на повторное банкротство в этот же период.</w:t>
      </w:r>
    </w:p>
    <w:p w14:paraId="0D000000">
      <w:p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Это предупреждение должно быть размещено в рекламных материалах, будь то радио, телевидение, кино, видео или другие виды рекламы. В радио- и телепрограммах оно должно занимать не менее 3 секунд эфирного времени, а в печатной, интернет- и наружной рекламе — не менее 7% площади.</w:t>
      </w:r>
    </w:p>
    <w:p w14:paraId="0E000000">
      <w:p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Одновременно реклама услуг по банкротству не должна обещать полное освобождение от всех денежных обязательств, вводить в заблуждение относительно последствий процедуры или призывать к уклонению от исполнения финансовых обязательств.</w:t>
      </w:r>
    </w:p>
    <w:p w14:paraId="0F000000">
      <w:p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Также вводится запрет на рекламу программно-аппаратных средств, предоставляющих доступ к информационным ресурсам и телекоммуникационным сетям, доступ к которым ограничен. Это связано с необходимостью защиты персональных данных граждан и предотвращением распространения запрещённого контента.</w:t>
      </w:r>
    </w:p>
    <w:p w14:paraId="10000000">
      <w:p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Эти меры направлены на повышение прозрачности и ответственности в сфере оказания услуг по банкротству, а также на защиту прав и интересов граждан.</w:t>
      </w:r>
    </w:p>
    <w:p w14:paraId="11000000">
      <w:p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Федеральный закон вступает в силу с 1 января 2026 г., за исключением отдельных положений, которые будут действовать с 1 сентября 2025 г.</w:t>
      </w:r>
    </w:p>
    <w:p w14:paraId="12000000">
      <w:pPr>
        <w:spacing w:after="0"/>
        <w:ind w:firstLine="709" w:left="0"/>
        <w:jc w:val="both"/>
        <w:rPr>
          <w:rFonts w:ascii="Times New Roman" w:hAnsi="Times New Roman"/>
          <w:sz w:val="28"/>
        </w:rPr>
      </w:pPr>
    </w:p>
    <w:p w14:paraId="13000000">
      <w:pPr>
        <w:spacing w:after="0"/>
        <w:ind w:firstLine="709" w:left="0"/>
        <w:jc w:val="both"/>
        <w:rPr>
          <w:rFonts w:ascii="Times New Roman" w:hAnsi="Times New Roman"/>
          <w:sz w:val="28"/>
        </w:rPr>
      </w:pPr>
    </w:p>
    <w:p w14:paraId="14000000">
      <w:pPr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Прокурор Шебалинского района                                                    Е.К. Полыгалов</w:t>
      </w:r>
    </w:p>
    <w:p w14:paraId="15000000">
      <w:pPr>
        <w:spacing w:after="0" w:line="240" w:lineRule="auto"/>
        <w:ind w:firstLine="709" w:left="0"/>
      </w:pPr>
    </w:p>
    <w:p w14:paraId="16000000">
      <w:pPr>
        <w:spacing w:after="0" w:line="240" w:lineRule="auto"/>
        <w:ind w:firstLine="709" w:left="0"/>
      </w:pPr>
    </w:p>
    <w:p w14:paraId="17000000">
      <w:pPr>
        <w:spacing w:before="240"/>
        <w:ind w:firstLine="0" w:left="3686"/>
        <w:rPr>
          <w:color w:themeColor="background1" w:themeShade="D9" w:val="D9D9D9"/>
        </w:rPr>
      </w:pPr>
      <w:bookmarkStart w:id="2" w:name="SIGNERSTAMP1"/>
      <w:bookmarkEnd w:id="2"/>
      <w:r>
        <w:rPr>
          <w:color w:themeColor="background1" w:themeShade="D9" w:val="D9D9D9"/>
        </w:rPr>
        <w:t xml:space="preserve">     </w:t>
      </w:r>
    </w:p>
    <w:sectPr>
      <w:headerReference r:id="rId1" w:type="default"/>
      <w:headerReference r:id="rId2" w:type="first"/>
      <w:pgSz w:h="16838" w:orient="portrait" w:w="11906"/>
      <w:pgMar w:bottom="1560" w:footer="1259" w:gutter="0" w:header="709" w:left="1701" w:right="70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</w:pPr>
  </w:p>
  <w:p w14:paraId="04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160" w:line="252" w:lineRule="auto"/>
      <w:ind/>
    </w:pPr>
    <w:rPr>
      <w:sz w:val="22"/>
    </w:rPr>
  </w:style>
  <w:style w:default="1" w:styleId="Style_2_ch" w:type="character">
    <w:name w:val="Normal"/>
    <w:link w:val="Style_2"/>
    <w:rPr>
      <w:sz w:val="22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2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msonormal"/>
    <w:basedOn w:val="Style_2"/>
    <w:link w:val="Style_11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1_ch" w:type="character">
    <w:name w:val="msonormal"/>
    <w:basedOn w:val="Style_2_ch"/>
    <w:link w:val="Style_11"/>
    <w:rPr>
      <w:rFonts w:ascii="Times New Roman" w:hAnsi="Times New Roman"/>
      <w:sz w:val="24"/>
    </w:rPr>
  </w:style>
  <w:style w:styleId="Style_12" w:type="paragraph">
    <w:name w:val="heading 5"/>
    <w:next w:val="Style_2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2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2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footer"/>
    <w:basedOn w:val="Style_2"/>
    <w:link w:val="Style_19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9_ch" w:type="character">
    <w:name w:val="footer"/>
    <w:basedOn w:val="Style_2_ch"/>
    <w:link w:val="Style_19"/>
  </w:style>
  <w:style w:styleId="Style_20" w:type="paragraph">
    <w:name w:val="toc 8"/>
    <w:next w:val="Style_2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1" w:type="paragraph">
    <w:name w:val="header"/>
    <w:basedOn w:val="Style_2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21" w:type="paragraph">
    <w:name w:val="toc 5"/>
    <w:next w:val="Style_2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2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2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2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2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styleId="Style_26" w:type="table">
    <w:name w:val="Table Grid"/>
    <w:basedOn w:val="Style_27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" w:type="table">
    <w:name w:val="Сетка таблицы1"/>
    <w:basedOn w:val="Style_27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2025-11-18T10:25:09Z</dcterms:modified>
</cp:coreProperties>
</file>