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Случаи освобождения от уплаты госпошлины при обращении в суды</w:t>
      </w:r>
    </w:p>
    <w:p w14:paraId="02000000">
      <w:pPr>
        <w:spacing w:after="0" w:line="240" w:lineRule="auto"/>
        <w:ind/>
        <w:rPr>
          <w:rFonts w:ascii="Times New Roman" w:hAnsi="Times New Roman"/>
          <w:sz w:val="28"/>
          <w:highlight w:val="white"/>
        </w:rPr>
      </w:pPr>
    </w:p>
    <w:p w14:paraId="03000000">
      <w:pPr>
        <w:spacing w:after="0" w:line="240" w:lineRule="auto"/>
        <w:ind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ab/>
      </w:r>
      <w:r>
        <w:rPr>
          <w:rFonts w:ascii="Times New Roman" w:hAnsi="Times New Roman"/>
          <w:sz w:val="28"/>
          <w:highlight w:val="white"/>
        </w:rPr>
        <w:t>Статьей 333.36 Налогового кодекса</w:t>
      </w:r>
      <w:r>
        <w:rPr>
          <w:rFonts w:ascii="Times New Roman" w:hAnsi="Times New Roman"/>
          <w:sz w:val="28"/>
          <w:highlight w:val="white"/>
        </w:rPr>
        <w:t> РФ для отдельных видов исков</w:t>
      </w:r>
      <w:r>
        <w:rPr>
          <w:rFonts w:ascii="Times New Roman" w:hAnsi="Times New Roman"/>
          <w:sz w:val="28"/>
          <w:highlight w:val="white"/>
        </w:rPr>
        <w:t>, предъявляемых в суды общей юрисдикции,</w:t>
      </w:r>
      <w:r>
        <w:rPr>
          <w:rFonts w:ascii="Times New Roman" w:hAnsi="Times New Roman"/>
          <w:sz w:val="28"/>
          <w:highlight w:val="white"/>
        </w:rPr>
        <w:t xml:space="preserve"> предусмотрено освобождение граждан от уплаты государственной пошлины.</w:t>
      </w:r>
      <w:r>
        <w:rPr>
          <w:rFonts w:ascii="Times New Roman" w:hAnsi="Times New Roman"/>
          <w:sz w:val="28"/>
          <w:highlight w:val="white"/>
        </w:rPr>
        <w:t xml:space="preserve"> Это те виды исков, которые обусловлены защитой значимых социальных прав граждан. В частности, к ним относятся иски:</w:t>
      </w:r>
    </w:p>
    <w:p w14:paraId="04000000">
      <w:pPr>
        <w:spacing w:after="0" w:line="240" w:lineRule="auto"/>
        <w:ind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ab/>
      </w:r>
      <w:r>
        <w:rPr>
          <w:rFonts w:ascii="Times New Roman" w:hAnsi="Times New Roman"/>
          <w:sz w:val="28"/>
          <w:highlight w:val="white"/>
        </w:rPr>
        <w:t xml:space="preserve">- </w:t>
      </w:r>
      <w:r>
        <w:rPr>
          <w:rFonts w:ascii="Times New Roman" w:hAnsi="Times New Roman"/>
          <w:sz w:val="28"/>
        </w:rPr>
        <w:t>по трудовым спорам (о восстановлении на работе, взыскании заработной платы);</w:t>
      </w:r>
    </w:p>
    <w:p w14:paraId="05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highlight w:val="white"/>
        </w:rPr>
        <w:tab/>
      </w:r>
      <w:r>
        <w:rPr>
          <w:rFonts w:ascii="Times New Roman" w:hAnsi="Times New Roman"/>
          <w:sz w:val="28"/>
          <w:highlight w:val="white"/>
        </w:rPr>
        <w:t xml:space="preserve">- </w:t>
      </w:r>
      <w:r>
        <w:rPr>
          <w:rFonts w:ascii="Times New Roman" w:hAnsi="Times New Roman"/>
          <w:sz w:val="28"/>
        </w:rPr>
        <w:t>о взыскании алиментов;</w:t>
      </w:r>
    </w:p>
    <w:p w14:paraId="06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  <w:highlight w:val="white"/>
        </w:rPr>
        <w:t xml:space="preserve">- </w:t>
      </w:r>
      <w:r>
        <w:rPr>
          <w:rFonts w:ascii="Times New Roman" w:hAnsi="Times New Roman"/>
          <w:sz w:val="28"/>
        </w:rPr>
        <w:t>по делам об усыновлении (удочерении), о защите интересов детей;</w:t>
      </w:r>
    </w:p>
    <w:p w14:paraId="07000000">
      <w:pPr>
        <w:spacing w:after="0" w:line="240" w:lineRule="auto"/>
        <w:ind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ab/>
      </w:r>
      <w:r>
        <w:rPr>
          <w:rFonts w:ascii="Times New Roman" w:hAnsi="Times New Roman"/>
          <w:sz w:val="28"/>
          <w:highlight w:val="white"/>
        </w:rPr>
        <w:t xml:space="preserve">- </w:t>
      </w:r>
      <w:r>
        <w:rPr>
          <w:rFonts w:ascii="Times New Roman" w:hAnsi="Times New Roman"/>
          <w:sz w:val="28"/>
        </w:rPr>
        <w:t>о возмещении вреда (при причинении имущественного или морального вреда в результате преступления, повреждения здоровья, увечья, утраты кормильца или уголовного преследования);</w:t>
      </w:r>
    </w:p>
    <w:p w14:paraId="08000000">
      <w:pPr>
        <w:spacing w:after="0" w:line="240" w:lineRule="auto"/>
        <w:ind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ab/>
      </w:r>
      <w:r>
        <w:rPr>
          <w:rFonts w:ascii="Times New Roman" w:hAnsi="Times New Roman"/>
          <w:sz w:val="28"/>
          <w:highlight w:val="white"/>
        </w:rPr>
        <w:t xml:space="preserve">- </w:t>
      </w:r>
      <w:r>
        <w:rPr>
          <w:rFonts w:ascii="Times New Roman" w:hAnsi="Times New Roman"/>
          <w:sz w:val="28"/>
        </w:rPr>
        <w:t>о защите прав потребителей (при цене иска до 1 млн руб.);</w:t>
      </w:r>
    </w:p>
    <w:p w14:paraId="09000000">
      <w:pPr>
        <w:spacing w:after="0" w:line="240" w:lineRule="auto"/>
        <w:ind/>
        <w:jc w:val="both"/>
        <w:rPr>
          <w:rFonts w:ascii="Times New Roman" w:hAnsi="Times New Roman"/>
          <w:sz w:val="28"/>
          <w:highlight w:val="white"/>
        </w:rPr>
      </w:pPr>
    </w:p>
    <w:p w14:paraId="0A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Прокуратура Шебалинского района </w:t>
      </w: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Default Paragraph Font"/>
    <w:link w:val="Style_8_ch"/>
  </w:style>
  <w:style w:styleId="Style_8_ch" w:type="character">
    <w:name w:val="Default Paragraph Font"/>
    <w:link w:val="Style_8"/>
  </w:style>
  <w:style w:styleId="Style_9" w:type="paragraph">
    <w:name w:val="toc 3"/>
    <w:next w:val="Style_1"/>
    <w:link w:val="Style_9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1"/>
    <w:link w:val="Style_10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1"/>
    <w:link w:val="Style_11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Hyperlink"/>
    <w:basedOn w:val="Style_8"/>
    <w:link w:val="Style_12_ch"/>
    <w:rPr>
      <w:color w:val="0000FF"/>
      <w:u w:val="single"/>
    </w:rPr>
  </w:style>
  <w:style w:styleId="Style_12_ch" w:type="character">
    <w:name w:val="Hyperlink"/>
    <w:basedOn w:val="Style_8_ch"/>
    <w:link w:val="Style_12"/>
    <w:rPr>
      <w:color w:val="0000FF"/>
      <w:u w:val="single"/>
    </w:rPr>
  </w:style>
  <w:style w:styleId="Style_13" w:type="paragraph">
    <w:name w:val="Footnote"/>
    <w:link w:val="Style_13_ch"/>
    <w:pPr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1"/>
    <w:link w:val="Style_14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Header and Footer"/>
    <w:link w:val="Style_15_ch"/>
    <w:pPr>
      <w:spacing w:line="240" w:lineRule="auto"/>
      <w:ind/>
      <w:jc w:val="both"/>
    </w:pPr>
    <w:rPr>
      <w:rFonts w:ascii="XO Thames" w:hAnsi="XO Thames"/>
      <w:sz w:val="28"/>
    </w:rPr>
  </w:style>
  <w:style w:styleId="Style_15_ch" w:type="character">
    <w:name w:val="Header and Footer"/>
    <w:link w:val="Style_15"/>
    <w:rPr>
      <w:rFonts w:ascii="XO Thames" w:hAnsi="XO Thames"/>
      <w:sz w:val="28"/>
    </w:rPr>
  </w:style>
  <w:style w:styleId="Style_16" w:type="paragraph">
    <w:name w:val="toc 9"/>
    <w:next w:val="Style_1"/>
    <w:link w:val="Style_16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6_ch" w:type="character">
    <w:name w:val="toc 9"/>
    <w:link w:val="Style_16"/>
    <w:rPr>
      <w:rFonts w:ascii="XO Thames" w:hAnsi="XO Thames"/>
      <w:sz w:val="28"/>
    </w:rPr>
  </w:style>
  <w:style w:styleId="Style_17" w:type="paragraph">
    <w:name w:val="toc 8"/>
    <w:next w:val="Style_1"/>
    <w:link w:val="Style_17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7_ch" w:type="character">
    <w:name w:val="toc 8"/>
    <w:link w:val="Style_17"/>
    <w:rPr>
      <w:rFonts w:ascii="XO Thames" w:hAnsi="XO Thames"/>
      <w:sz w:val="28"/>
    </w:rPr>
  </w:style>
  <w:style w:styleId="Style_18" w:type="paragraph">
    <w:name w:val="toc 5"/>
    <w:next w:val="Style_1"/>
    <w:link w:val="Style_18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8_ch" w:type="character">
    <w:name w:val="toc 5"/>
    <w:link w:val="Style_18"/>
    <w:rPr>
      <w:rFonts w:ascii="XO Thames" w:hAnsi="XO Thames"/>
      <w:sz w:val="28"/>
    </w:rPr>
  </w:style>
  <w:style w:styleId="Style_19" w:type="paragraph">
    <w:name w:val="Subtitle"/>
    <w:next w:val="Style_1"/>
    <w:link w:val="Style_19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9_ch" w:type="character">
    <w:name w:val="Subtitle"/>
    <w:link w:val="Style_19"/>
    <w:rPr>
      <w:rFonts w:ascii="XO Thames" w:hAnsi="XO Thames"/>
      <w:i w:val="1"/>
      <w:sz w:val="24"/>
    </w:rPr>
  </w:style>
  <w:style w:styleId="Style_20" w:type="paragraph">
    <w:name w:val="Title"/>
    <w:next w:val="Style_1"/>
    <w:link w:val="Style_20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0_ch" w:type="character">
    <w:name w:val="Title"/>
    <w:link w:val="Style_20"/>
    <w:rPr>
      <w:rFonts w:ascii="XO Thames" w:hAnsi="XO Thames"/>
      <w:b w:val="1"/>
      <w:caps w:val="1"/>
      <w:sz w:val="40"/>
    </w:rPr>
  </w:style>
  <w:style w:styleId="Style_21" w:type="paragraph">
    <w:name w:val="heading 4"/>
    <w:next w:val="Style_1"/>
    <w:link w:val="Style_21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1_ch" w:type="character">
    <w:name w:val="heading 4"/>
    <w:link w:val="Style_21"/>
    <w:rPr>
      <w:rFonts w:ascii="XO Thames" w:hAnsi="XO Thames"/>
      <w:b w:val="1"/>
      <w:sz w:val="24"/>
    </w:rPr>
  </w:style>
  <w:style w:styleId="Style_22" w:type="paragraph">
    <w:name w:val="heading 2"/>
    <w:next w:val="Style_1"/>
    <w:link w:val="Style_22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2_ch" w:type="character">
    <w:name w:val="heading 2"/>
    <w:link w:val="Style_22"/>
    <w:rPr>
      <w:rFonts w:ascii="XO Thames" w:hAnsi="XO Thames"/>
      <w:b w:val="1"/>
      <w:sz w:val="28"/>
    </w:rPr>
  </w:style>
  <w:style w:default="1" w:styleId="Style_2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MyOffice-CoreFramework-Linux/31-1176.784.8785.803.1@b7d79ee91c0484ce8e5066dc862bfc403a32edb5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2025-11-20T11:08:08Z</dcterms:modified>
</cp:coreProperties>
</file>